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DE4" w:rsidRPr="00CF4CB0" w:rsidRDefault="00401DE4" w:rsidP="00401DE4">
      <w:pPr>
        <w:widowControl/>
        <w:autoSpaceDE/>
        <w:autoSpaceDN/>
        <w:spacing w:before="120" w:after="120"/>
        <w:rPr>
          <w:rFonts w:eastAsia="MS Mincho" w:cs="Times New Roman"/>
          <w:color w:val="FFFFFF"/>
          <w:kern w:val="2"/>
          <w:sz w:val="32"/>
        </w:rPr>
      </w:pPr>
      <w:r w:rsidRPr="00CF4CB0">
        <w:rPr>
          <w:rFonts w:eastAsia="MS Mincho" w:cs="Times New Roman"/>
          <w:noProof/>
          <w:color w:val="FFFFFF"/>
          <w:kern w:val="2"/>
          <w:sz w:val="32"/>
          <w:lang w:eastAsia="en-AU"/>
        </w:rPr>
        <mc:AlternateContent>
          <mc:Choice Requires="wps">
            <w:drawing>
              <wp:anchor distT="0" distB="0" distL="114300" distR="114300" simplePos="0" relativeHeight="251660288" behindDoc="0" locked="0" layoutInCell="1" allowOverlap="1" wp14:anchorId="0C009A89" wp14:editId="0E352C6D">
                <wp:simplePos x="0" y="0"/>
                <wp:positionH relativeFrom="column">
                  <wp:posOffset>4687261</wp:posOffset>
                </wp:positionH>
                <wp:positionV relativeFrom="paragraph">
                  <wp:posOffset>190877</wp:posOffset>
                </wp:positionV>
                <wp:extent cx="801934" cy="752084"/>
                <wp:effectExtent l="0" t="0" r="0" b="0"/>
                <wp:wrapNone/>
                <wp:docPr id="13" name="Rectangle 13"/>
                <wp:cNvGraphicFramePr/>
                <a:graphic xmlns:a="http://schemas.openxmlformats.org/drawingml/2006/main">
                  <a:graphicData uri="http://schemas.microsoft.com/office/word/2010/wordprocessingShape">
                    <wps:wsp>
                      <wps:cNvSpPr/>
                      <wps:spPr>
                        <a:xfrm>
                          <a:off x="0" y="0"/>
                          <a:ext cx="801934" cy="752084"/>
                        </a:xfrm>
                        <a:prstGeom prst="rect">
                          <a:avLst/>
                        </a:prstGeom>
                        <a:noFill/>
                        <a:ln w="9525" cap="flat" cmpd="sng" algn="ctr">
                          <a:noFill/>
                          <a:prstDash val="solid"/>
                        </a:ln>
                        <a:effectLst/>
                      </wps:spPr>
                      <wps:txbx>
                        <w:txbxContent>
                          <w:p w:rsidR="00401DE4" w:rsidRPr="002D67BF" w:rsidRDefault="00401DE4" w:rsidP="00401DE4">
                            <w:pPr>
                              <w:spacing w:before="40" w:after="40"/>
                              <w:jc w:val="center"/>
                              <w:rPr>
                                <w:color w:val="FF0000"/>
                                <w:sz w:val="10"/>
                                <w:szCs w:val="10"/>
                                <w:highlight w:val="yellow"/>
                              </w:rPr>
                            </w:pPr>
                            <w:r w:rsidRPr="002D67BF">
                              <w:rPr>
                                <w:color w:val="FF0000"/>
                                <w:sz w:val="10"/>
                                <w:szCs w:val="10"/>
                                <w:highlight w:val="yellow"/>
                              </w:rPr>
                              <w:t>&lt;INSERT SCHOOL LOGO HERE&gt;</w:t>
                            </w:r>
                          </w:p>
                          <w:p w:rsidR="00401DE4" w:rsidRPr="002D67BF" w:rsidRDefault="00401DE4" w:rsidP="00401DE4">
                            <w:pPr>
                              <w:spacing w:before="40" w:after="40"/>
                              <w:jc w:val="center"/>
                              <w:rPr>
                                <w:color w:val="FF0000"/>
                                <w:sz w:val="10"/>
                                <w:szCs w:val="10"/>
                                <w:highlight w:val="yellow"/>
                              </w:rPr>
                            </w:pPr>
                            <w:r w:rsidRPr="002D67BF">
                              <w:rPr>
                                <w:color w:val="FF0000"/>
                                <w:sz w:val="10"/>
                                <w:szCs w:val="10"/>
                                <w:highlight w:val="yellow"/>
                              </w:rPr>
                              <w:t>SHAPE OPTIONS &gt; PICTURE FILL (</w:t>
                            </w:r>
                            <w:r>
                              <w:rPr>
                                <w:color w:val="FF0000"/>
                                <w:sz w:val="10"/>
                                <w:szCs w:val="10"/>
                                <w:highlight w:val="yellow"/>
                              </w:rPr>
                              <w:t xml:space="preserve">SOURCE: </w:t>
                            </w:r>
                            <w:r w:rsidRPr="002D67BF">
                              <w:rPr>
                                <w:color w:val="FF0000"/>
                                <w:sz w:val="10"/>
                                <w:szCs w:val="10"/>
                                <w:highlight w:val="yellow"/>
                              </w:rPr>
                              <w:t>SELECT LOGO)</w:t>
                            </w:r>
                          </w:p>
                          <w:p w:rsidR="00401DE4" w:rsidRPr="002D67BF" w:rsidRDefault="00401DE4" w:rsidP="00401DE4">
                            <w:pPr>
                              <w:spacing w:before="40" w:after="40"/>
                              <w:jc w:val="center"/>
                              <w:rPr>
                                <w:color w:val="FF0000"/>
                                <w:sz w:val="10"/>
                                <w:szCs w:val="10"/>
                              </w:rPr>
                            </w:pPr>
                            <w:r>
                              <w:rPr>
                                <w:color w:val="FF0000"/>
                                <w:sz w:val="10"/>
                                <w:szCs w:val="10"/>
                                <w:highlight w:val="yellow"/>
                              </w:rPr>
                              <w:t xml:space="preserve">MENU: </w:t>
                            </w:r>
                            <w:r w:rsidRPr="002D67BF">
                              <w:rPr>
                                <w:color w:val="FF0000"/>
                                <w:sz w:val="10"/>
                                <w:szCs w:val="10"/>
                                <w:highlight w:val="yellow"/>
                              </w:rPr>
                              <w:t>PICTURE FORMAT &gt; CROP &gt; FIT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009A89" id="Rectangle 13" o:spid="_x0000_s1026" style="position:absolute;margin-left:369.1pt;margin-top:15.0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" filled="f" stroked="f">
                <v:textbox inset="0,0,0,0">
                  <w:txbxContent>
                    <w:p w:rsidR="00401DE4" w:rsidRPr="002D67BF" w:rsidRDefault="00401DE4" w:rsidP="00401DE4">
                      <w:pPr>
                        <w:spacing w:before="40" w:after="40"/>
                        <w:jc w:val="center"/>
                        <w:rPr>
                          <w:color w:val="FF0000"/>
                          <w:sz w:val="10"/>
                          <w:szCs w:val="10"/>
                          <w:highlight w:val="yellow"/>
                        </w:rPr>
                      </w:pPr>
                      <w:r w:rsidRPr="002D67BF">
                        <w:rPr>
                          <w:color w:val="FF0000"/>
                          <w:sz w:val="10"/>
                          <w:szCs w:val="10"/>
                          <w:highlight w:val="yellow"/>
                        </w:rPr>
                        <w:t>&lt;INSERT SCHOOL LOGO HERE&gt;</w:t>
                      </w:r>
                    </w:p>
                    <w:p w:rsidR="00401DE4" w:rsidRPr="002D67BF" w:rsidRDefault="00401DE4" w:rsidP="00401DE4">
                      <w:pPr>
                        <w:spacing w:before="40" w:after="40"/>
                        <w:jc w:val="center"/>
                        <w:rPr>
                          <w:color w:val="FF0000"/>
                          <w:sz w:val="10"/>
                          <w:szCs w:val="10"/>
                          <w:highlight w:val="yellow"/>
                        </w:rPr>
                      </w:pPr>
                      <w:r w:rsidRPr="002D67BF">
                        <w:rPr>
                          <w:color w:val="FF0000"/>
                          <w:sz w:val="10"/>
                          <w:szCs w:val="10"/>
                          <w:highlight w:val="yellow"/>
                        </w:rPr>
                        <w:t>SHAPE OPTIONS &gt; PICTURE FILL (</w:t>
                      </w:r>
                      <w:r>
                        <w:rPr>
                          <w:color w:val="FF0000"/>
                          <w:sz w:val="10"/>
                          <w:szCs w:val="10"/>
                          <w:highlight w:val="yellow"/>
                        </w:rPr>
                        <w:t xml:space="preserve">SOURCE: </w:t>
                      </w:r>
                      <w:r w:rsidRPr="002D67BF">
                        <w:rPr>
                          <w:color w:val="FF0000"/>
                          <w:sz w:val="10"/>
                          <w:szCs w:val="10"/>
                          <w:highlight w:val="yellow"/>
                        </w:rPr>
                        <w:t>SELECT LOGO)</w:t>
                      </w:r>
                    </w:p>
                    <w:p w:rsidR="00401DE4" w:rsidRPr="002D67BF" w:rsidRDefault="00401DE4" w:rsidP="00401DE4">
                      <w:pPr>
                        <w:spacing w:before="40" w:after="40"/>
                        <w:jc w:val="center"/>
                        <w:rPr>
                          <w:color w:val="FF0000"/>
                          <w:sz w:val="10"/>
                          <w:szCs w:val="10"/>
                        </w:rPr>
                      </w:pPr>
                      <w:r>
                        <w:rPr>
                          <w:color w:val="FF0000"/>
                          <w:sz w:val="10"/>
                          <w:szCs w:val="10"/>
                          <w:highlight w:val="yellow"/>
                        </w:rPr>
                        <w:t xml:space="preserve">MENU: </w:t>
                      </w:r>
                      <w:r w:rsidRPr="002D67BF">
                        <w:rPr>
                          <w:color w:val="FF0000"/>
                          <w:sz w:val="10"/>
                          <w:szCs w:val="10"/>
                          <w:highlight w:val="yellow"/>
                        </w:rPr>
                        <w:t>PICTURE FORMAT &gt; CROP &gt; FIT</w:t>
                      </w:r>
                    </w:p>
                  </w:txbxContent>
                </v:textbox>
              </v:rect>
            </w:pict>
          </mc:Fallback>
        </mc:AlternateContent>
      </w:r>
      <w:r w:rsidRPr="00CF4CB0">
        <w:rPr>
          <w:rFonts w:eastAsia="MS Mincho" w:cs="Times New Roman"/>
          <w:noProof/>
          <w:color w:val="FFFFFF"/>
          <w:kern w:val="2"/>
          <w:sz w:val="32"/>
          <w:lang w:eastAsia="en-AU"/>
        </w:rPr>
        <w:drawing>
          <wp:inline distT="0" distB="0" distL="0" distR="0" wp14:anchorId="28F5FCFC" wp14:editId="7FF7098A">
            <wp:extent cx="5612126" cy="991748"/>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CF4CB0">
        <w:rPr>
          <w:rFonts w:eastAsia="MS Gothic" w:cs="Times New Roman (Headings CS)"/>
          <w:b/>
          <w:noProof/>
          <w:color w:val="FFFFFF"/>
          <w:kern w:val="2"/>
          <w:sz w:val="40"/>
          <w:szCs w:val="32"/>
          <w:lang w:eastAsia="en-AU"/>
        </w:rPr>
        <mc:AlternateContent>
          <mc:Choice Requires="wps">
            <w:drawing>
              <wp:anchor distT="0" distB="0" distL="114300" distR="114300" simplePos="0" relativeHeight="251659264" behindDoc="0" locked="1" layoutInCell="1" allowOverlap="1" wp14:anchorId="4335E39A" wp14:editId="05695727">
                <wp:simplePos x="0" y="0"/>
                <wp:positionH relativeFrom="page">
                  <wp:posOffset>969010</wp:posOffset>
                </wp:positionH>
                <wp:positionV relativeFrom="page">
                  <wp:posOffset>1011555</wp:posOffset>
                </wp:positionV>
                <wp:extent cx="3340100" cy="989965"/>
                <wp:effectExtent l="0" t="0" r="0" b="63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DE4" w:rsidRPr="009723E5" w:rsidRDefault="009723E5" w:rsidP="00401DE4">
                            <w:pPr>
                              <w:pStyle w:val="Heading1"/>
                              <w:ind w:left="0" w:firstLine="0"/>
                              <w:rPr>
                                <w:b/>
                                <w:color w:val="FFFFFF" w:themeColor="background1"/>
                                <w:sz w:val="36"/>
                              </w:rPr>
                            </w:pPr>
                            <w:r w:rsidRPr="009723E5">
                              <w:rPr>
                                <w:b/>
                                <w:color w:val="FFFFFF" w:themeColor="background1"/>
                                <w:sz w:val="36"/>
                              </w:rPr>
                              <w:t xml:space="preserve">MACS </w:t>
                            </w:r>
                            <w:r w:rsidR="00401DE4" w:rsidRPr="009723E5">
                              <w:rPr>
                                <w:b/>
                                <w:color w:val="FFFFFF" w:themeColor="background1"/>
                                <w:sz w:val="36"/>
                              </w:rPr>
                              <w:t>Duty of Care Guidelines</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5E39A" id="Rectangle 3" o:spid="_x0000_s1027" style="position:absolute;margin-left:76.3pt;margin-top:79.65pt;width:263pt;height:7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" filled="f" stroked="f">
                <v:textbox inset="4mm,3mm,2mm,0">
                  <w:txbxContent>
                    <w:p w:rsidR="00401DE4" w:rsidRPr="009723E5" w:rsidRDefault="009723E5" w:rsidP="00401DE4">
                      <w:pPr>
                        <w:pStyle w:val="Heading1"/>
                        <w:ind w:left="0" w:firstLine="0"/>
                        <w:rPr>
                          <w:b/>
                          <w:color w:val="FFFFFF" w:themeColor="background1"/>
                          <w:sz w:val="36"/>
                        </w:rPr>
                      </w:pPr>
                      <w:r w:rsidRPr="009723E5">
                        <w:rPr>
                          <w:b/>
                          <w:color w:val="FFFFFF" w:themeColor="background1"/>
                          <w:sz w:val="36"/>
                        </w:rPr>
                        <w:t xml:space="preserve">MACS </w:t>
                      </w:r>
                      <w:r w:rsidR="00401DE4" w:rsidRPr="009723E5">
                        <w:rPr>
                          <w:b/>
                          <w:color w:val="FFFFFF" w:themeColor="background1"/>
                          <w:sz w:val="36"/>
                        </w:rPr>
                        <w:t>Duty of Care Guidelines</w:t>
                      </w:r>
                    </w:p>
                  </w:txbxContent>
                </v:textbox>
                <w10:wrap anchorx="page" anchory="page"/>
                <w10:anchorlock/>
              </v:rect>
            </w:pict>
          </mc:Fallback>
        </mc:AlternateContent>
      </w:r>
    </w:p>
    <w:p w:rsidR="00401DE4" w:rsidRPr="00CF4CB0" w:rsidRDefault="00401DE4" w:rsidP="00401DE4">
      <w:pPr>
        <w:keepNext/>
        <w:keepLines/>
        <w:widowControl/>
        <w:autoSpaceDE/>
        <w:autoSpaceDN/>
        <w:spacing w:before="120" w:after="120"/>
        <w:outlineLvl w:val="1"/>
        <w:rPr>
          <w:rFonts w:eastAsia="MS Gothic" w:cs="Times New Roman"/>
          <w:color w:val="00A8D6"/>
          <w:kern w:val="2"/>
          <w:sz w:val="32"/>
          <w:szCs w:val="32"/>
        </w:rPr>
      </w:pPr>
      <w:r w:rsidRPr="00CF4CB0">
        <w:rPr>
          <w:rFonts w:eastAsia="MS Gothic" w:cs="Times New Roman"/>
          <w:color w:val="00A8D6"/>
          <w:kern w:val="2"/>
          <w:sz w:val="32"/>
          <w:szCs w:val="32"/>
        </w:rPr>
        <w:t>Purpose</w:t>
      </w:r>
    </w:p>
    <w:p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 xml:space="preserve">Melbourne Archdiocese Catholic Schools Ltd (MACS) in partnership with parents, guardians and caregivers, who are the primary educators of their children, is entrusted with the holistic education of each child in our schools. All staff therefore have a duty of care to students to take reasonable care to avoid acts or omissions that they can reasonably foresee would be likely to result in harm or injury to the student, and to work for the positive wellbeing of each child. The </w:t>
      </w:r>
      <w:r w:rsidRPr="00CF4CB0">
        <w:rPr>
          <w:rFonts w:eastAsia="MS Mincho" w:cs="Times New Roman"/>
          <w:i/>
          <w:color w:val="595959"/>
          <w:kern w:val="2"/>
          <w:sz w:val="21"/>
        </w:rPr>
        <w:t>Education Training and Reform Regulations 2017</w:t>
      </w:r>
      <w:r w:rsidRPr="00CF4CB0">
        <w:rPr>
          <w:rFonts w:eastAsia="MS Mincho" w:cs="Times New Roman"/>
          <w:color w:val="595959"/>
          <w:kern w:val="2"/>
          <w:sz w:val="21"/>
        </w:rPr>
        <w:t xml:space="preserve"> (Vic.) (</w:t>
      </w:r>
      <w:proofErr w:type="spellStart"/>
      <w:r w:rsidRPr="00CF4CB0">
        <w:rPr>
          <w:rFonts w:eastAsia="MS Mincho" w:cs="Times New Roman"/>
          <w:color w:val="595959"/>
          <w:kern w:val="2"/>
          <w:sz w:val="21"/>
        </w:rPr>
        <w:t>sch</w:t>
      </w:r>
      <w:proofErr w:type="spellEnd"/>
      <w:r w:rsidRPr="00CF4CB0">
        <w:rPr>
          <w:rFonts w:eastAsia="MS Mincho" w:cs="Times New Roman"/>
          <w:color w:val="595959"/>
          <w:kern w:val="2"/>
          <w:sz w:val="21"/>
        </w:rPr>
        <w:t xml:space="preserve"> 4 cl 12) require that schools must ensure that the care, safety and welfare of all students attending the school is in accordance with any applicable state or Commonwealth laws, and that all staff are advised of their legal obligations under those laws.</w:t>
      </w:r>
    </w:p>
    <w:p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Duty of care is an element of the tort of negligence. In broad terms, the law of negligence provides that if a person suffers an injury as a result of the negligent act or omission of another, the injured person should be compensated for loss and damage flowing from that negligence.</w:t>
      </w:r>
    </w:p>
    <w:p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To successfully bring a compensation claim in negligence, a person must establish on the balance of probabilities that:</w:t>
      </w:r>
    </w:p>
    <w:p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a duty of care was owed to them at the time of the injury</w:t>
      </w:r>
    </w:p>
    <w:p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the risk of injury was reasonably foreseeable</w:t>
      </w:r>
    </w:p>
    <w:p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the likelihood of the injury occurring was more than insignificant</w:t>
      </w:r>
    </w:p>
    <w:p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there was a breach of the duty of care or a failure to observe a reasonable standard of care; and</w:t>
      </w:r>
    </w:p>
    <w:p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proofErr w:type="gramStart"/>
      <w:r w:rsidRPr="00CF4CB0">
        <w:rPr>
          <w:rFonts w:eastAsia="MS Mincho" w:cs="Times New Roman"/>
          <w:color w:val="595959"/>
          <w:sz w:val="21"/>
          <w:szCs w:val="21"/>
        </w:rPr>
        <w:t>this</w:t>
      </w:r>
      <w:proofErr w:type="gramEnd"/>
      <w:r w:rsidRPr="00CF4CB0">
        <w:rPr>
          <w:rFonts w:eastAsia="MS Mincho" w:cs="Times New Roman"/>
          <w:color w:val="595959"/>
          <w:sz w:val="21"/>
          <w:szCs w:val="21"/>
        </w:rPr>
        <w:t xml:space="preserve"> breach or failure caused or contributed to the injury, loss or damaged suffered.</w:t>
      </w:r>
    </w:p>
    <w:p w:rsidR="00401DE4" w:rsidRPr="00CF4CB0" w:rsidRDefault="00401DE4" w:rsidP="00401DE4">
      <w:pPr>
        <w:widowControl/>
        <w:autoSpaceDE/>
        <w:autoSpaceDN/>
        <w:spacing w:before="120" w:after="240"/>
        <w:contextualSpacing/>
        <w:rPr>
          <w:rFonts w:eastAsia="MS Mincho" w:cs="Times New Roman"/>
          <w:color w:val="595959"/>
          <w:sz w:val="21"/>
          <w:szCs w:val="21"/>
        </w:rPr>
      </w:pPr>
    </w:p>
    <w:p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The fact that a duty of care exists does not mean that a school will be liable for an injury sustained by a student or other person. In order to succeed in a negligence claim, all of these elements must be established.</w:t>
      </w:r>
    </w:p>
    <w:p w:rsidR="00401DE4" w:rsidRPr="00CF4CB0" w:rsidRDefault="00401DE4" w:rsidP="00401DE4">
      <w:pPr>
        <w:keepNext/>
        <w:keepLines/>
        <w:widowControl/>
        <w:autoSpaceDE/>
        <w:autoSpaceDN/>
        <w:spacing w:before="120" w:after="120"/>
        <w:outlineLvl w:val="1"/>
        <w:rPr>
          <w:rFonts w:eastAsia="MS Gothic" w:cs="Times New Roman"/>
          <w:color w:val="00A8D6"/>
          <w:kern w:val="2"/>
          <w:sz w:val="32"/>
          <w:szCs w:val="32"/>
        </w:rPr>
      </w:pPr>
      <w:r w:rsidRPr="00CF4CB0">
        <w:rPr>
          <w:rFonts w:eastAsia="MS Gothic" w:cs="Times New Roman"/>
          <w:color w:val="00A8D6"/>
          <w:kern w:val="2"/>
          <w:sz w:val="32"/>
          <w:szCs w:val="32"/>
        </w:rPr>
        <w:t>Scope</w:t>
      </w:r>
    </w:p>
    <w:p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Duty of care applies to all sites under the control of the school and applies to all members of the school’s leadership team, teaching and non-teaching staff members, casual relief teachers, religious and parish staff, volunteers and contractors engaged by the school.</w:t>
      </w:r>
    </w:p>
    <w:p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Duty of care is a matter for the whole organisation. It is not just confined to the geographical area of the school but also to school activities that occur outside the school where a student is acting on a staff member’s instructions. The duty also applies to situations both before and after school where students can be assumed to be under the teacher’s care. Consideration must be given to the age and capacity of children in care with greater attention required for younger students or students with disabilities.</w:t>
      </w:r>
    </w:p>
    <w:p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Teaching and non-teaching staff members owe a duty of care to students within their care, and, but not limited to, parents, student teachers, volunteers, visitors or contractors who may sustain injury, loss or damage as a result of our conduct.</w:t>
      </w:r>
    </w:p>
    <w:p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The school owes a duty to take reasonable care that any student (or other person) on the premises will not be injured or damaged because of the state of the premises, including things done or omitted to be done to the premises.</w:t>
      </w:r>
    </w:p>
    <w:p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lastRenderedPageBreak/>
        <w:t>Principals and teachers are held to a high standard of care in relation to students. The duty requires principals and teachers to take reasonable steps to minimise the risk of reasonably foreseeable harm from injury or child abuse to students by an individual associated with the school whilst the child is under the care, supervision or authority of the school.</w:t>
      </w:r>
    </w:p>
    <w:p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Duty of care is non-delegable, meaning that it cannot be assigned to another party.</w:t>
      </w:r>
    </w:p>
    <w:p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Whenever a teacher-student relationship exists, teachers have a special duty of care. Generally, teachers are expected to take such measures as are reasonable in the circumstances to protect a student under their charge from reasonably foreseeable risks of injury or child abuse.</w:t>
      </w:r>
    </w:p>
    <w:p w:rsidR="00401DE4" w:rsidRPr="00CF4CB0" w:rsidRDefault="00401DE4" w:rsidP="00401DE4">
      <w:pPr>
        <w:keepNext/>
        <w:keepLines/>
        <w:widowControl/>
        <w:autoSpaceDE/>
        <w:autoSpaceDN/>
        <w:spacing w:before="120" w:after="120"/>
        <w:outlineLvl w:val="1"/>
        <w:rPr>
          <w:rFonts w:eastAsia="MS Gothic" w:cs="Times New Roman"/>
          <w:color w:val="00A8D6"/>
          <w:kern w:val="2"/>
          <w:sz w:val="32"/>
          <w:szCs w:val="32"/>
        </w:rPr>
      </w:pPr>
      <w:r w:rsidRPr="00CF4CB0">
        <w:rPr>
          <w:rFonts w:eastAsia="MS Gothic" w:cs="Times New Roman"/>
          <w:color w:val="00A8D6"/>
          <w:kern w:val="2"/>
          <w:sz w:val="32"/>
          <w:szCs w:val="32"/>
        </w:rPr>
        <w:t>Definitions</w:t>
      </w:r>
    </w:p>
    <w:p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b/>
          <w:color w:val="595959"/>
          <w:kern w:val="2"/>
          <w:sz w:val="21"/>
        </w:rPr>
        <w:t>Duty of care</w:t>
      </w:r>
      <w:r w:rsidRPr="00CF4CB0">
        <w:rPr>
          <w:rFonts w:eastAsia="MS Mincho" w:cs="Times New Roman"/>
          <w:color w:val="595959"/>
          <w:kern w:val="2"/>
          <w:sz w:val="21"/>
        </w:rPr>
        <w:t xml:space="preserv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w:t>
      </w:r>
    </w:p>
    <w:p w:rsidR="00401DE4" w:rsidRPr="00CF4CB0" w:rsidRDefault="00401DE4" w:rsidP="00401DE4">
      <w:pPr>
        <w:keepNext/>
        <w:keepLines/>
        <w:widowControl/>
        <w:autoSpaceDE/>
        <w:autoSpaceDN/>
        <w:spacing w:before="120" w:after="120"/>
        <w:outlineLvl w:val="1"/>
        <w:rPr>
          <w:rFonts w:eastAsia="MS Gothic" w:cs="Times New Roman"/>
          <w:color w:val="00A8D6"/>
          <w:kern w:val="2"/>
          <w:sz w:val="32"/>
          <w:szCs w:val="32"/>
        </w:rPr>
      </w:pPr>
      <w:r w:rsidRPr="00CF4CB0">
        <w:rPr>
          <w:rFonts w:eastAsia="MS Gothic" w:cs="Times New Roman"/>
          <w:color w:val="00A8D6"/>
          <w:kern w:val="2"/>
          <w:sz w:val="32"/>
          <w:szCs w:val="32"/>
        </w:rPr>
        <w:t>Principles</w:t>
      </w:r>
    </w:p>
    <w:p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In having a duty of care to students, MACS schools will:</w:t>
      </w:r>
    </w:p>
    <w:p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 xml:space="preserve">ensure compliance with the </w:t>
      </w:r>
      <w:r w:rsidR="00E97EBE">
        <w:rPr>
          <w:rFonts w:eastAsia="MS Mincho" w:cs="Times New Roman"/>
          <w:color w:val="595959"/>
          <w:sz w:val="21"/>
          <w:szCs w:val="21"/>
        </w:rPr>
        <w:t>eleven</w:t>
      </w:r>
      <w:r w:rsidRPr="00CF4CB0">
        <w:rPr>
          <w:rFonts w:eastAsia="MS Mincho" w:cs="Times New Roman"/>
          <w:color w:val="595959"/>
          <w:sz w:val="21"/>
          <w:szCs w:val="21"/>
        </w:rPr>
        <w:t xml:space="preserve"> Child Safe Standards</w:t>
      </w:r>
    </w:p>
    <w:p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provide suitable and safe premises</w:t>
      </w:r>
    </w:p>
    <w:p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provide an adequate system of supervision</w:t>
      </w:r>
    </w:p>
    <w:p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implement strategies to prevent bullying</w:t>
      </w:r>
    </w:p>
    <w:p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ensure that medical assistance is provided to a sick or injured student</w:t>
      </w:r>
    </w:p>
    <w:p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proofErr w:type="gramStart"/>
      <w:r w:rsidRPr="00CF4CB0">
        <w:rPr>
          <w:rFonts w:eastAsia="MS Mincho" w:cs="Times New Roman"/>
          <w:color w:val="595959"/>
          <w:sz w:val="21"/>
          <w:szCs w:val="21"/>
        </w:rPr>
        <w:t>manage</w:t>
      </w:r>
      <w:proofErr w:type="gramEnd"/>
      <w:r w:rsidRPr="00CF4CB0">
        <w:rPr>
          <w:rFonts w:eastAsia="MS Mincho" w:cs="Times New Roman"/>
          <w:color w:val="595959"/>
          <w:sz w:val="21"/>
          <w:szCs w:val="21"/>
        </w:rPr>
        <w:t xml:space="preserve"> employee recruitment, conduct and performance.</w:t>
      </w:r>
    </w:p>
    <w:p w:rsidR="00401DE4" w:rsidRPr="00CF4CB0" w:rsidRDefault="00401DE4" w:rsidP="00401DE4">
      <w:pPr>
        <w:widowControl/>
        <w:autoSpaceDE/>
        <w:autoSpaceDN/>
        <w:spacing w:before="120" w:after="240"/>
        <w:contextualSpacing/>
        <w:rPr>
          <w:rFonts w:eastAsia="MS Mincho" w:cs="Times New Roman"/>
          <w:color w:val="595959"/>
          <w:sz w:val="21"/>
          <w:szCs w:val="21"/>
        </w:rPr>
      </w:pPr>
    </w:p>
    <w:p w:rsidR="00401DE4" w:rsidRPr="00CF4CB0" w:rsidRDefault="00401DE4" w:rsidP="00401DE4">
      <w:pPr>
        <w:keepNext/>
        <w:keepLines/>
        <w:widowControl/>
        <w:autoSpaceDE/>
        <w:autoSpaceDN/>
        <w:spacing w:before="120" w:after="120"/>
        <w:outlineLvl w:val="1"/>
        <w:rPr>
          <w:rFonts w:eastAsia="MS Gothic" w:cs="Times New Roman"/>
          <w:color w:val="00A8D6"/>
          <w:kern w:val="2"/>
          <w:sz w:val="32"/>
          <w:szCs w:val="32"/>
        </w:rPr>
      </w:pPr>
      <w:r w:rsidRPr="00CF4CB0">
        <w:rPr>
          <w:rFonts w:eastAsia="MS Gothic" w:cs="Times New Roman"/>
          <w:color w:val="00A8D6"/>
          <w:kern w:val="2"/>
          <w:sz w:val="32"/>
          <w:szCs w:val="32"/>
        </w:rPr>
        <w:t>Policy</w:t>
      </w:r>
    </w:p>
    <w:p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Each MACS school has policies and procedures to manage common risks in the school environment</w:t>
      </w:r>
      <w:r w:rsidR="00E97EBE">
        <w:rPr>
          <w:rFonts w:eastAsia="MS Mincho" w:cs="Times New Roman"/>
          <w:color w:val="595959"/>
          <w:kern w:val="2"/>
          <w:sz w:val="21"/>
        </w:rPr>
        <w:t xml:space="preserve"> (including physical and online environments)</w:t>
      </w:r>
      <w:r w:rsidRPr="00CF4CB0">
        <w:rPr>
          <w:rFonts w:eastAsia="MS Mincho" w:cs="Times New Roman"/>
          <w:color w:val="595959"/>
          <w:kern w:val="2"/>
          <w:sz w:val="21"/>
        </w:rPr>
        <w:t>, including:</w:t>
      </w:r>
    </w:p>
    <w:p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bullying prevention and intervention</w:t>
      </w:r>
      <w:r w:rsidR="00E97EBE">
        <w:rPr>
          <w:rFonts w:eastAsia="MS Mincho" w:cs="Times New Roman"/>
          <w:color w:val="595959"/>
          <w:sz w:val="21"/>
          <w:szCs w:val="21"/>
        </w:rPr>
        <w:t xml:space="preserve"> (including cyber-bullying)</w:t>
      </w:r>
    </w:p>
    <w:p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camps and excursions</w:t>
      </w:r>
    </w:p>
    <w:p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child safe standards</w:t>
      </w:r>
    </w:p>
    <w:p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codes of conduct for parents, students and staff</w:t>
      </w:r>
    </w:p>
    <w:p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emergency management</w:t>
      </w:r>
    </w:p>
    <w:p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employment and management of staff</w:t>
      </w:r>
    </w:p>
    <w:p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health and first aid policies</w:t>
      </w:r>
    </w:p>
    <w:p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mandatory reporting</w:t>
      </w:r>
    </w:p>
    <w:p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occupational health and safety</w:t>
      </w:r>
    </w:p>
    <w:p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student wellbeing and engagement</w:t>
      </w:r>
    </w:p>
    <w:p w:rsidR="00E97EBE" w:rsidRDefault="00401DE4" w:rsidP="00E97EBE">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supervision of students in class and in the school yard</w:t>
      </w:r>
    </w:p>
    <w:p w:rsidR="00E97EBE" w:rsidRPr="00E97EBE" w:rsidRDefault="00E97EBE" w:rsidP="005F0F87">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proofErr w:type="gramStart"/>
      <w:r>
        <w:rPr>
          <w:rFonts w:eastAsia="MS Mincho" w:cs="Times New Roman"/>
          <w:color w:val="595959"/>
          <w:sz w:val="21"/>
          <w:szCs w:val="21"/>
        </w:rPr>
        <w:t>procurement</w:t>
      </w:r>
      <w:proofErr w:type="gramEnd"/>
      <w:r>
        <w:rPr>
          <w:rFonts w:eastAsia="MS Mincho" w:cs="Times New Roman"/>
          <w:color w:val="595959"/>
          <w:sz w:val="21"/>
          <w:szCs w:val="21"/>
        </w:rPr>
        <w:t xml:space="preserve"> for facilities and services from third parties</w:t>
      </w:r>
      <w:r w:rsidR="00401DE4" w:rsidRPr="00CF4CB0">
        <w:rPr>
          <w:rFonts w:eastAsia="MS Mincho" w:cs="Times New Roman"/>
          <w:color w:val="595959"/>
          <w:sz w:val="21"/>
          <w:szCs w:val="21"/>
        </w:rPr>
        <w:t>.</w:t>
      </w:r>
    </w:p>
    <w:p w:rsidR="00401DE4" w:rsidRPr="00CF4CB0" w:rsidRDefault="00401DE4" w:rsidP="00401DE4">
      <w:pPr>
        <w:widowControl/>
        <w:autoSpaceDE/>
        <w:autoSpaceDN/>
        <w:spacing w:before="120" w:after="240"/>
        <w:contextualSpacing/>
        <w:rPr>
          <w:rFonts w:eastAsia="MS Mincho" w:cs="Times New Roman"/>
          <w:color w:val="595959"/>
          <w:sz w:val="21"/>
          <w:szCs w:val="21"/>
        </w:rPr>
      </w:pPr>
    </w:p>
    <w:p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The principal and school leaders in MACS schools have the responsibility for ensuring that all staff, as well as support personnel, are familiar with the Duty of Care Guidelines and the implementation of relevant policies.</w:t>
      </w:r>
    </w:p>
    <w:p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All staff and relevant personnel have signed a code of conduct in relation to child safety.</w:t>
      </w:r>
    </w:p>
    <w:p w:rsidR="00071E47" w:rsidRDefault="00401DE4" w:rsidP="005F0F87">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 xml:space="preserve">Parents are advised of MACS policies regarding supervision of students, including times for before school and after school supervision, through school communication. Reminders are issued at regular intervals. </w:t>
      </w:r>
      <w:r w:rsidRPr="00CF4CB0">
        <w:rPr>
          <w:rFonts w:eastAsia="MS Mincho" w:cs="Times New Roman"/>
          <w:color w:val="595959"/>
          <w:kern w:val="2"/>
          <w:sz w:val="21"/>
        </w:rPr>
        <w:lastRenderedPageBreak/>
        <w:t>School staff, parents, carers and students are encouraged to speak to the principal to raise any concerns about risks, hazards or</w:t>
      </w:r>
      <w:r w:rsidR="005F0F87">
        <w:rPr>
          <w:rFonts w:eastAsia="MS Mincho" w:cs="Times New Roman"/>
          <w:color w:val="595959"/>
          <w:kern w:val="2"/>
          <w:sz w:val="21"/>
        </w:rPr>
        <w:t xml:space="preserve"> duty of care obligations.</w:t>
      </w:r>
    </w:p>
    <w:p w:rsidR="00ED4CB6" w:rsidRDefault="00ED4CB6" w:rsidP="005F0F87">
      <w:pPr>
        <w:widowControl/>
        <w:tabs>
          <w:tab w:val="left" w:pos="3000"/>
        </w:tabs>
        <w:autoSpaceDE/>
        <w:autoSpaceDN/>
        <w:spacing w:before="60" w:after="200"/>
        <w:rPr>
          <w:rFonts w:eastAsia="MS Mincho" w:cs="Times New Roman"/>
          <w:color w:val="595959"/>
          <w:kern w:val="2"/>
          <w:sz w:val="21"/>
        </w:rPr>
      </w:pPr>
    </w:p>
    <w:p w:rsidR="00ED4CB6" w:rsidRDefault="00ED4CB6" w:rsidP="005F0F87">
      <w:pPr>
        <w:widowControl/>
        <w:tabs>
          <w:tab w:val="left" w:pos="3000"/>
        </w:tabs>
        <w:autoSpaceDE/>
        <w:autoSpaceDN/>
        <w:spacing w:before="60" w:after="200"/>
        <w:rPr>
          <w:rFonts w:eastAsia="MS Mincho" w:cs="Times New Roman"/>
          <w:color w:val="595959"/>
          <w:kern w:val="2"/>
          <w:sz w:val="21"/>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ED4CB6" w:rsidRPr="00364B1E" w:rsidTr="00FA4772">
        <w:trPr>
          <w:trHeight w:val="251"/>
        </w:trPr>
        <w:tc>
          <w:tcPr>
            <w:tcW w:w="2126" w:type="dxa"/>
          </w:tcPr>
          <w:p w:rsidR="00ED4CB6" w:rsidRPr="00364B1E" w:rsidRDefault="00ED4CB6" w:rsidP="00FA4772">
            <w:pPr>
              <w:pStyle w:val="TableParagraph"/>
              <w:rPr>
                <w:b/>
                <w:sz w:val="16"/>
                <w:szCs w:val="16"/>
              </w:rPr>
            </w:pPr>
            <w:r w:rsidRPr="00364B1E">
              <w:rPr>
                <w:b/>
                <w:color w:val="404040"/>
                <w:sz w:val="16"/>
                <w:szCs w:val="16"/>
              </w:rPr>
              <w:t>Responsible</w:t>
            </w:r>
            <w:r w:rsidRPr="00364B1E">
              <w:rPr>
                <w:b/>
                <w:color w:val="404040"/>
                <w:spacing w:val="-6"/>
                <w:sz w:val="16"/>
                <w:szCs w:val="16"/>
              </w:rPr>
              <w:t xml:space="preserve"> </w:t>
            </w:r>
            <w:r w:rsidRPr="00364B1E">
              <w:rPr>
                <w:b/>
                <w:color w:val="404040"/>
                <w:sz w:val="16"/>
                <w:szCs w:val="16"/>
              </w:rPr>
              <w:t>director</w:t>
            </w:r>
          </w:p>
        </w:tc>
        <w:tc>
          <w:tcPr>
            <w:tcW w:w="6662" w:type="dxa"/>
          </w:tcPr>
          <w:p w:rsidR="00ED4CB6" w:rsidRPr="00364B1E" w:rsidRDefault="00ED4CB6"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Director, Learning and Regional Services</w:t>
            </w:r>
          </w:p>
        </w:tc>
      </w:tr>
      <w:tr w:rsidR="00ED4CB6" w:rsidRPr="00364B1E" w:rsidTr="00FA4772">
        <w:trPr>
          <w:trHeight w:val="251"/>
        </w:trPr>
        <w:tc>
          <w:tcPr>
            <w:tcW w:w="2126" w:type="dxa"/>
          </w:tcPr>
          <w:p w:rsidR="00ED4CB6" w:rsidRPr="00364B1E" w:rsidRDefault="00ED4CB6" w:rsidP="00FA4772">
            <w:pPr>
              <w:pStyle w:val="TableParagraph"/>
              <w:rPr>
                <w:b/>
                <w:sz w:val="16"/>
                <w:szCs w:val="16"/>
              </w:rPr>
            </w:pPr>
            <w:r w:rsidRPr="00364B1E">
              <w:rPr>
                <w:b/>
                <w:color w:val="404040"/>
                <w:sz w:val="16"/>
                <w:szCs w:val="16"/>
              </w:rPr>
              <w:t>Policy</w:t>
            </w:r>
            <w:r w:rsidRPr="00364B1E">
              <w:rPr>
                <w:b/>
                <w:color w:val="404040"/>
                <w:spacing w:val="-3"/>
                <w:sz w:val="16"/>
                <w:szCs w:val="16"/>
              </w:rPr>
              <w:t xml:space="preserve"> </w:t>
            </w:r>
            <w:r w:rsidRPr="00364B1E">
              <w:rPr>
                <w:b/>
                <w:color w:val="404040"/>
                <w:sz w:val="16"/>
                <w:szCs w:val="16"/>
              </w:rPr>
              <w:t>owner</w:t>
            </w:r>
          </w:p>
        </w:tc>
        <w:tc>
          <w:tcPr>
            <w:tcW w:w="6662" w:type="dxa"/>
          </w:tcPr>
          <w:p w:rsidR="00ED4CB6" w:rsidRPr="00364B1E" w:rsidRDefault="00ED4CB6"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Director, Learning and Regional Services</w:t>
            </w:r>
          </w:p>
        </w:tc>
      </w:tr>
      <w:tr w:rsidR="00ED4CB6" w:rsidRPr="00364B1E" w:rsidTr="00FA4772">
        <w:trPr>
          <w:trHeight w:val="249"/>
        </w:trPr>
        <w:tc>
          <w:tcPr>
            <w:tcW w:w="2126" w:type="dxa"/>
          </w:tcPr>
          <w:p w:rsidR="00ED4CB6" w:rsidRPr="00364B1E" w:rsidRDefault="00ED4CB6" w:rsidP="00FA4772">
            <w:pPr>
              <w:pStyle w:val="TableParagraph"/>
              <w:rPr>
                <w:b/>
                <w:sz w:val="16"/>
                <w:szCs w:val="16"/>
              </w:rPr>
            </w:pPr>
            <w:r w:rsidRPr="00364B1E">
              <w:rPr>
                <w:b/>
                <w:color w:val="404040"/>
                <w:sz w:val="16"/>
                <w:szCs w:val="16"/>
              </w:rPr>
              <w:t>Approving</w:t>
            </w:r>
            <w:r w:rsidRPr="00364B1E">
              <w:rPr>
                <w:b/>
                <w:color w:val="404040"/>
                <w:spacing w:val="-5"/>
                <w:sz w:val="16"/>
                <w:szCs w:val="16"/>
              </w:rPr>
              <w:t xml:space="preserve"> </w:t>
            </w:r>
            <w:r w:rsidRPr="00364B1E">
              <w:rPr>
                <w:b/>
                <w:color w:val="404040"/>
                <w:sz w:val="16"/>
                <w:szCs w:val="16"/>
              </w:rPr>
              <w:t>body/individual</w:t>
            </w:r>
          </w:p>
        </w:tc>
        <w:tc>
          <w:tcPr>
            <w:tcW w:w="6662" w:type="dxa"/>
          </w:tcPr>
          <w:p w:rsidR="00ED4CB6" w:rsidRPr="00364B1E" w:rsidRDefault="00ED4CB6"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MACS Board</w:t>
            </w:r>
          </w:p>
        </w:tc>
      </w:tr>
      <w:tr w:rsidR="00ED4CB6" w:rsidRPr="00364B1E" w:rsidTr="00FA4772">
        <w:trPr>
          <w:trHeight w:val="251"/>
        </w:trPr>
        <w:tc>
          <w:tcPr>
            <w:tcW w:w="2126" w:type="dxa"/>
          </w:tcPr>
          <w:p w:rsidR="00ED4CB6" w:rsidRPr="00364B1E" w:rsidRDefault="00ED4CB6" w:rsidP="00FA4772">
            <w:pPr>
              <w:pStyle w:val="TableParagraph"/>
              <w:spacing w:before="30"/>
              <w:rPr>
                <w:b/>
                <w:sz w:val="16"/>
                <w:szCs w:val="16"/>
              </w:rPr>
            </w:pPr>
            <w:r w:rsidRPr="00364B1E">
              <w:rPr>
                <w:b/>
                <w:color w:val="404040"/>
                <w:sz w:val="16"/>
                <w:szCs w:val="16"/>
              </w:rPr>
              <w:t>Approval</w:t>
            </w:r>
            <w:r w:rsidRPr="00364B1E">
              <w:rPr>
                <w:b/>
                <w:color w:val="404040"/>
                <w:spacing w:val="-7"/>
                <w:sz w:val="16"/>
                <w:szCs w:val="16"/>
              </w:rPr>
              <w:t xml:space="preserve"> </w:t>
            </w:r>
            <w:r w:rsidRPr="00364B1E">
              <w:rPr>
                <w:b/>
                <w:color w:val="404040"/>
                <w:sz w:val="16"/>
                <w:szCs w:val="16"/>
              </w:rPr>
              <w:t>date</w:t>
            </w:r>
          </w:p>
        </w:tc>
        <w:tc>
          <w:tcPr>
            <w:tcW w:w="6662" w:type="dxa"/>
          </w:tcPr>
          <w:p w:rsidR="00ED4CB6" w:rsidRPr="00364B1E" w:rsidRDefault="00ED4CB6"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13 April 2022</w:t>
            </w:r>
          </w:p>
        </w:tc>
      </w:tr>
      <w:tr w:rsidR="00ED4CB6" w:rsidRPr="00364B1E" w:rsidTr="00FA4772">
        <w:trPr>
          <w:trHeight w:val="251"/>
        </w:trPr>
        <w:tc>
          <w:tcPr>
            <w:tcW w:w="2126" w:type="dxa"/>
          </w:tcPr>
          <w:p w:rsidR="00ED4CB6" w:rsidRPr="00364B1E" w:rsidRDefault="00ED4CB6" w:rsidP="00FA4772">
            <w:pPr>
              <w:pStyle w:val="TableParagraph"/>
              <w:rPr>
                <w:b/>
                <w:color w:val="404040"/>
                <w:sz w:val="16"/>
                <w:szCs w:val="16"/>
              </w:rPr>
            </w:pPr>
            <w:r>
              <w:rPr>
                <w:b/>
                <w:color w:val="404040"/>
                <w:sz w:val="16"/>
                <w:szCs w:val="16"/>
              </w:rPr>
              <w:t>Risk rating</w:t>
            </w:r>
          </w:p>
        </w:tc>
        <w:tc>
          <w:tcPr>
            <w:tcW w:w="6662" w:type="dxa"/>
          </w:tcPr>
          <w:p w:rsidR="00ED4CB6" w:rsidRPr="00364B1E" w:rsidRDefault="00ED4CB6"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High</w:t>
            </w:r>
          </w:p>
        </w:tc>
      </w:tr>
      <w:tr w:rsidR="00ED4CB6" w:rsidRPr="00364B1E" w:rsidTr="00FA4772">
        <w:trPr>
          <w:trHeight w:val="251"/>
        </w:trPr>
        <w:tc>
          <w:tcPr>
            <w:tcW w:w="2126" w:type="dxa"/>
          </w:tcPr>
          <w:p w:rsidR="00ED4CB6" w:rsidRPr="00364B1E" w:rsidRDefault="00ED4CB6" w:rsidP="00FA4772">
            <w:pPr>
              <w:pStyle w:val="TableParagraph"/>
              <w:rPr>
                <w:b/>
                <w:sz w:val="16"/>
                <w:szCs w:val="16"/>
              </w:rPr>
            </w:pPr>
            <w:r w:rsidRPr="00364B1E">
              <w:rPr>
                <w:b/>
                <w:color w:val="404040"/>
                <w:sz w:val="16"/>
                <w:szCs w:val="16"/>
              </w:rPr>
              <w:t>Date</w:t>
            </w:r>
            <w:r w:rsidRPr="00364B1E">
              <w:rPr>
                <w:b/>
                <w:color w:val="404040"/>
                <w:spacing w:val="-4"/>
                <w:sz w:val="16"/>
                <w:szCs w:val="16"/>
              </w:rPr>
              <w:t xml:space="preserve"> </w:t>
            </w:r>
            <w:r w:rsidRPr="00364B1E">
              <w:rPr>
                <w:b/>
                <w:color w:val="404040"/>
                <w:sz w:val="16"/>
                <w:szCs w:val="16"/>
              </w:rPr>
              <w:t>of</w:t>
            </w:r>
            <w:r w:rsidRPr="00364B1E">
              <w:rPr>
                <w:b/>
                <w:color w:val="404040"/>
                <w:spacing w:val="-4"/>
                <w:sz w:val="16"/>
                <w:szCs w:val="16"/>
              </w:rPr>
              <w:t xml:space="preserve"> </w:t>
            </w:r>
            <w:r w:rsidRPr="00364B1E">
              <w:rPr>
                <w:b/>
                <w:color w:val="404040"/>
                <w:sz w:val="16"/>
                <w:szCs w:val="16"/>
              </w:rPr>
              <w:t>next</w:t>
            </w:r>
            <w:r w:rsidRPr="00364B1E">
              <w:rPr>
                <w:b/>
                <w:color w:val="404040"/>
                <w:spacing w:val="-4"/>
                <w:sz w:val="16"/>
                <w:szCs w:val="16"/>
              </w:rPr>
              <w:t xml:space="preserve"> </w:t>
            </w:r>
            <w:r w:rsidRPr="00364B1E">
              <w:rPr>
                <w:b/>
                <w:color w:val="404040"/>
                <w:sz w:val="16"/>
                <w:szCs w:val="16"/>
              </w:rPr>
              <w:t>review</w:t>
            </w:r>
          </w:p>
        </w:tc>
        <w:tc>
          <w:tcPr>
            <w:tcW w:w="6662" w:type="dxa"/>
          </w:tcPr>
          <w:p w:rsidR="00ED4CB6" w:rsidRPr="00364B1E" w:rsidRDefault="00ED4CB6"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April 2024</w:t>
            </w:r>
          </w:p>
        </w:tc>
      </w:tr>
    </w:tbl>
    <w:p w:rsidR="00ED4CB6" w:rsidRPr="00364B1E" w:rsidRDefault="00ED4CB6" w:rsidP="00364B1E">
      <w:pPr>
        <w:pStyle w:val="BodyText"/>
        <w:rPr>
          <w:sz w:val="16"/>
          <w:szCs w:val="16"/>
        </w:rPr>
      </w:pPr>
    </w:p>
    <w:p w:rsidR="00ED4CB6" w:rsidRPr="00364B1E" w:rsidRDefault="00ED4CB6" w:rsidP="00364B1E">
      <w:pPr>
        <w:pStyle w:val="BodyText"/>
        <w:spacing w:before="7" w:after="1"/>
        <w:rPr>
          <w:sz w:val="16"/>
          <w:szCs w:val="16"/>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ED4CB6" w:rsidRPr="00364B1E" w:rsidTr="00FA4772">
        <w:trPr>
          <w:trHeight w:val="217"/>
        </w:trPr>
        <w:tc>
          <w:tcPr>
            <w:tcW w:w="8788" w:type="dxa"/>
            <w:gridSpan w:val="2"/>
            <w:shd w:val="clear" w:color="auto" w:fill="F1F1F1"/>
          </w:tcPr>
          <w:p w:rsidR="00ED4CB6" w:rsidRPr="00364B1E" w:rsidRDefault="00ED4CB6" w:rsidP="00FA4772">
            <w:pPr>
              <w:pStyle w:val="TableParagraph"/>
              <w:spacing w:line="170" w:lineRule="exact"/>
              <w:rPr>
                <w:b/>
                <w:sz w:val="16"/>
                <w:szCs w:val="16"/>
              </w:rPr>
            </w:pPr>
            <w:r w:rsidRPr="00364B1E">
              <w:rPr>
                <w:b/>
                <w:color w:val="404040"/>
                <w:spacing w:val="-2"/>
                <w:sz w:val="16"/>
                <w:szCs w:val="16"/>
              </w:rPr>
              <w:t>POLICY</w:t>
            </w:r>
            <w:r w:rsidRPr="00364B1E">
              <w:rPr>
                <w:b/>
                <w:color w:val="404040"/>
                <w:spacing w:val="-7"/>
                <w:sz w:val="16"/>
                <w:szCs w:val="16"/>
              </w:rPr>
              <w:t xml:space="preserve"> </w:t>
            </w:r>
            <w:r w:rsidRPr="00364B1E">
              <w:rPr>
                <w:b/>
                <w:color w:val="404040"/>
                <w:spacing w:val="-1"/>
                <w:sz w:val="16"/>
                <w:szCs w:val="16"/>
              </w:rPr>
              <w:t>DATABASE</w:t>
            </w:r>
            <w:r w:rsidRPr="00364B1E">
              <w:rPr>
                <w:b/>
                <w:color w:val="404040"/>
                <w:spacing w:val="-7"/>
                <w:sz w:val="16"/>
                <w:szCs w:val="16"/>
              </w:rPr>
              <w:t xml:space="preserve"> </w:t>
            </w:r>
            <w:r w:rsidRPr="00364B1E">
              <w:rPr>
                <w:b/>
                <w:color w:val="404040"/>
                <w:spacing w:val="-1"/>
                <w:sz w:val="16"/>
                <w:szCs w:val="16"/>
              </w:rPr>
              <w:t>INFORMATION</w:t>
            </w:r>
          </w:p>
        </w:tc>
      </w:tr>
      <w:tr w:rsidR="00ED4CB6" w:rsidRPr="00364B1E" w:rsidTr="00FA4772">
        <w:trPr>
          <w:trHeight w:val="445"/>
        </w:trPr>
        <w:tc>
          <w:tcPr>
            <w:tcW w:w="2126" w:type="dxa"/>
            <w:tcBorders>
              <w:top w:val="single" w:sz="18" w:space="0" w:color="F1F1F1"/>
            </w:tcBorders>
          </w:tcPr>
          <w:p w:rsidR="00ED4CB6" w:rsidRPr="00364B1E" w:rsidRDefault="00ED4CB6" w:rsidP="00FA4772">
            <w:pPr>
              <w:pStyle w:val="TableParagraph"/>
              <w:spacing w:before="122"/>
              <w:rPr>
                <w:b/>
                <w:sz w:val="16"/>
                <w:szCs w:val="16"/>
              </w:rPr>
            </w:pPr>
            <w:r w:rsidRPr="00364B1E">
              <w:rPr>
                <w:b/>
                <w:color w:val="404040"/>
                <w:sz w:val="16"/>
                <w:szCs w:val="16"/>
              </w:rPr>
              <w:t>Related</w:t>
            </w:r>
            <w:r w:rsidRPr="00364B1E">
              <w:rPr>
                <w:b/>
                <w:color w:val="404040"/>
                <w:spacing w:val="-7"/>
                <w:sz w:val="16"/>
                <w:szCs w:val="16"/>
              </w:rPr>
              <w:t xml:space="preserve"> </w:t>
            </w:r>
            <w:r w:rsidRPr="00364B1E">
              <w:rPr>
                <w:b/>
                <w:color w:val="404040"/>
                <w:sz w:val="16"/>
                <w:szCs w:val="16"/>
              </w:rPr>
              <w:t>documents</w:t>
            </w:r>
          </w:p>
        </w:tc>
        <w:tc>
          <w:tcPr>
            <w:tcW w:w="6662" w:type="dxa"/>
            <w:tcBorders>
              <w:top w:val="single" w:sz="18" w:space="0" w:color="F1F1F1"/>
            </w:tcBorders>
          </w:tcPr>
          <w:p w:rsidR="00ED4CB6" w:rsidRPr="00364B1E" w:rsidRDefault="00ED4CB6" w:rsidP="00FA4772">
            <w:pPr>
              <w:tabs>
                <w:tab w:val="left" w:pos="469"/>
                <w:tab w:val="left" w:pos="470"/>
              </w:tabs>
              <w:spacing w:before="1"/>
              <w:ind w:left="111"/>
              <w:rPr>
                <w:rFonts w:ascii="Symbol" w:hAnsi="Symbol"/>
                <w:color w:val="585858"/>
                <w:sz w:val="16"/>
                <w:szCs w:val="16"/>
              </w:rPr>
            </w:pPr>
          </w:p>
        </w:tc>
      </w:tr>
      <w:tr w:rsidR="00ED4CB6" w:rsidRPr="00364B1E" w:rsidTr="00FA4772">
        <w:trPr>
          <w:trHeight w:val="251"/>
        </w:trPr>
        <w:tc>
          <w:tcPr>
            <w:tcW w:w="2126" w:type="dxa"/>
          </w:tcPr>
          <w:p w:rsidR="00ED4CB6" w:rsidRPr="00364B1E" w:rsidRDefault="00ED4CB6" w:rsidP="00FA4772">
            <w:pPr>
              <w:pStyle w:val="TableParagraph"/>
              <w:rPr>
                <w:b/>
                <w:sz w:val="16"/>
                <w:szCs w:val="16"/>
              </w:rPr>
            </w:pPr>
            <w:r w:rsidRPr="00364B1E">
              <w:rPr>
                <w:b/>
                <w:color w:val="404040"/>
                <w:sz w:val="16"/>
                <w:szCs w:val="16"/>
              </w:rPr>
              <w:t>Superseded</w:t>
            </w:r>
            <w:r w:rsidRPr="00364B1E">
              <w:rPr>
                <w:b/>
                <w:color w:val="404040"/>
                <w:spacing w:val="-6"/>
                <w:sz w:val="16"/>
                <w:szCs w:val="16"/>
              </w:rPr>
              <w:t xml:space="preserve"> </w:t>
            </w:r>
            <w:r w:rsidRPr="00364B1E">
              <w:rPr>
                <w:b/>
                <w:color w:val="404040"/>
                <w:sz w:val="16"/>
                <w:szCs w:val="16"/>
              </w:rPr>
              <w:t>documents</w:t>
            </w:r>
          </w:p>
        </w:tc>
        <w:tc>
          <w:tcPr>
            <w:tcW w:w="6662" w:type="dxa"/>
          </w:tcPr>
          <w:p w:rsidR="00ED4CB6" w:rsidRPr="00364B1E" w:rsidRDefault="00ED4CB6" w:rsidP="00FA4772">
            <w:pPr>
              <w:pStyle w:val="TableParagraph"/>
              <w:ind w:left="108"/>
              <w:rPr>
                <w:sz w:val="16"/>
                <w:szCs w:val="16"/>
              </w:rPr>
            </w:pPr>
            <w:r>
              <w:rPr>
                <w:sz w:val="16"/>
                <w:szCs w:val="16"/>
              </w:rPr>
              <w:t>MACS Duty of Care Guidelines – v1.0 - 2021</w:t>
            </w:r>
            <w:bookmarkStart w:id="0" w:name="_GoBack"/>
            <w:bookmarkEnd w:id="0"/>
          </w:p>
        </w:tc>
      </w:tr>
      <w:tr w:rsidR="00ED4CB6" w:rsidRPr="00364B1E" w:rsidTr="00FA4772">
        <w:trPr>
          <w:trHeight w:val="251"/>
        </w:trPr>
        <w:tc>
          <w:tcPr>
            <w:tcW w:w="2126" w:type="dxa"/>
          </w:tcPr>
          <w:p w:rsidR="00ED4CB6" w:rsidRPr="00364B1E" w:rsidRDefault="00ED4CB6" w:rsidP="00FA4772">
            <w:pPr>
              <w:pStyle w:val="TableParagraph"/>
              <w:rPr>
                <w:b/>
                <w:sz w:val="16"/>
                <w:szCs w:val="16"/>
              </w:rPr>
            </w:pPr>
            <w:r w:rsidRPr="00364B1E">
              <w:rPr>
                <w:b/>
                <w:color w:val="404040"/>
                <w:sz w:val="16"/>
                <w:szCs w:val="16"/>
              </w:rPr>
              <w:t>New</w:t>
            </w:r>
            <w:r w:rsidRPr="00364B1E">
              <w:rPr>
                <w:b/>
                <w:color w:val="404040"/>
                <w:spacing w:val="-2"/>
                <w:sz w:val="16"/>
                <w:szCs w:val="16"/>
              </w:rPr>
              <w:t xml:space="preserve"> </w:t>
            </w:r>
            <w:r w:rsidRPr="00364B1E">
              <w:rPr>
                <w:b/>
                <w:color w:val="404040"/>
                <w:sz w:val="16"/>
                <w:szCs w:val="16"/>
              </w:rPr>
              <w:t>policy</w:t>
            </w:r>
          </w:p>
        </w:tc>
        <w:tc>
          <w:tcPr>
            <w:tcW w:w="6662" w:type="dxa"/>
          </w:tcPr>
          <w:p w:rsidR="00ED4CB6" w:rsidRPr="00364B1E" w:rsidRDefault="00ED4CB6" w:rsidP="00FA4772">
            <w:pPr>
              <w:pStyle w:val="TableParagraph"/>
              <w:ind w:left="108"/>
              <w:rPr>
                <w:sz w:val="16"/>
                <w:szCs w:val="16"/>
              </w:rPr>
            </w:pPr>
          </w:p>
        </w:tc>
      </w:tr>
    </w:tbl>
    <w:p w:rsidR="00ED4CB6" w:rsidRDefault="00ED4CB6" w:rsidP="00364B1E"/>
    <w:p w:rsidR="00ED4CB6" w:rsidRDefault="00ED4CB6" w:rsidP="005F0F87">
      <w:pPr>
        <w:widowControl/>
        <w:tabs>
          <w:tab w:val="left" w:pos="3000"/>
        </w:tabs>
        <w:autoSpaceDE/>
        <w:autoSpaceDN/>
        <w:spacing w:before="60" w:after="200"/>
      </w:pPr>
    </w:p>
    <w:sectPr w:rsidR="00ED4CB6">
      <w:headerReference w:type="default" r:id="rId9"/>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183" w:rsidRDefault="00DE2183" w:rsidP="009723E5">
      <w:r>
        <w:separator/>
      </w:r>
    </w:p>
  </w:endnote>
  <w:endnote w:type="continuationSeparator" w:id="0">
    <w:p w:rsidR="00DE2183" w:rsidRDefault="00DE2183" w:rsidP="0097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BE" w:rsidRDefault="005F0F87">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E97EBE" w:rsidRPr="00E97EBE">
      <w:rPr>
        <w:color w:val="191919"/>
        <w:sz w:val="13"/>
      </w:rPr>
      <w:t>ME_194870828_1</w:t>
    </w:r>
    <w:r>
      <w:rPr>
        <w:color w:val="191919"/>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B6" w:rsidRDefault="00ED4CB6" w:rsidP="00ED4CB6"/>
  <w:p w:rsidR="00ED4CB6" w:rsidRPr="004656E6" w:rsidRDefault="00ED4CB6" w:rsidP="00ED4CB6">
    <w:pPr>
      <w:pStyle w:val="Footer"/>
      <w:rPr>
        <w:b/>
        <w:color w:val="595959" w:themeColor="text1" w:themeTint="A6"/>
        <w:sz w:val="16"/>
        <w:szCs w:val="16"/>
      </w:rPr>
    </w:pPr>
    <w:r w:rsidRPr="00F35063">
      <w:rPr>
        <w:b/>
        <w:noProof/>
        <w:color w:val="595959" w:themeColor="text1" w:themeTint="A6"/>
        <w:sz w:val="16"/>
        <w:szCs w:val="16"/>
        <w:lang w:eastAsia="en-AU"/>
      </w:rPr>
      <mc:AlternateContent>
        <mc:Choice Requires="wps">
          <w:drawing>
            <wp:anchor distT="0" distB="0" distL="114300" distR="114300" simplePos="0" relativeHeight="251659264" behindDoc="0" locked="0" layoutInCell="1" allowOverlap="1" wp14:anchorId="1F9A36EE" wp14:editId="7A3A05E6">
              <wp:simplePos x="0" y="0"/>
              <wp:positionH relativeFrom="column">
                <wp:posOffset>0</wp:posOffset>
              </wp:positionH>
              <wp:positionV relativeFrom="paragraph">
                <wp:posOffset>-123663</wp:posOffset>
              </wp:positionV>
              <wp:extent cx="5611495"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561149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BE94B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" strokecolor="gray [1629]" strokeweight=".25pt">
              <v:stroke joinstyle="miter"/>
            </v:line>
          </w:pict>
        </mc:Fallback>
      </mc:AlternateContent>
    </w:r>
    <w:r w:rsidRPr="004656E6">
      <w:rPr>
        <w:b/>
        <w:color w:val="595959" w:themeColor="text1" w:themeTint="A6"/>
        <w:sz w:val="16"/>
        <w:szCs w:val="16"/>
      </w:rPr>
      <w:t>D21/</w:t>
    </w:r>
    <w:r>
      <w:rPr>
        <w:b/>
        <w:color w:val="595959" w:themeColor="text1" w:themeTint="A6"/>
        <w:sz w:val="16"/>
        <w:szCs w:val="16"/>
      </w:rPr>
      <w:t>79328[v2]</w:t>
    </w:r>
    <w:r w:rsidRPr="004656E6">
      <w:rPr>
        <w:b/>
        <w:color w:val="595959" w:themeColor="text1" w:themeTint="A6"/>
        <w:sz w:val="16"/>
        <w:szCs w:val="16"/>
      </w:rPr>
      <w:t xml:space="preserve"> </w:t>
    </w:r>
    <w:r>
      <w:rPr>
        <w:b/>
        <w:color w:val="595959" w:themeColor="text1" w:themeTint="A6"/>
        <w:sz w:val="16"/>
        <w:szCs w:val="16"/>
      </w:rPr>
      <w:t>MACS Duty of Care Guidelines</w:t>
    </w:r>
    <w:r w:rsidRPr="004656E6">
      <w:rPr>
        <w:b/>
        <w:color w:val="595959" w:themeColor="text1" w:themeTint="A6"/>
        <w:sz w:val="16"/>
        <w:szCs w:val="16"/>
      </w:rPr>
      <w:t xml:space="preserve">– </w:t>
    </w:r>
    <w:r>
      <w:rPr>
        <w:b/>
        <w:color w:val="595959" w:themeColor="text1" w:themeTint="A6"/>
        <w:sz w:val="16"/>
        <w:szCs w:val="16"/>
      </w:rPr>
      <w:t>v2.0 -2022</w:t>
    </w:r>
    <w:r w:rsidRPr="00F35063">
      <w:rPr>
        <w:b/>
        <w:color w:val="595959" w:themeColor="text1" w:themeTint="A6"/>
        <w:sz w:val="16"/>
        <w:szCs w:val="16"/>
      </w:rPr>
      <w:tab/>
    </w:r>
    <w:r w:rsidRPr="00F35063">
      <w:rPr>
        <w:b/>
        <w:color w:val="595959" w:themeColor="text1" w:themeTint="A6"/>
        <w:sz w:val="16"/>
        <w:szCs w:val="16"/>
      </w:rPr>
      <w:tab/>
    </w:r>
    <w:r w:rsidRPr="00F35063">
      <w:rPr>
        <w:color w:val="595959" w:themeColor="text1" w:themeTint="A6"/>
        <w:sz w:val="16"/>
        <w:szCs w:val="16"/>
      </w:rPr>
      <w:t xml:space="preserve">Page </w:t>
    </w:r>
    <w:sdt>
      <w:sdtPr>
        <w:rPr>
          <w:rStyle w:val="PageNumber"/>
          <w:color w:val="595959" w:themeColor="text1" w:themeTint="A6"/>
          <w:sz w:val="16"/>
          <w:szCs w:val="16"/>
        </w:rPr>
        <w:id w:val="-1614507707"/>
        <w:docPartObj>
          <w:docPartGallery w:val="Page Numbers (Bottom of Page)"/>
          <w:docPartUnique/>
        </w:docPartObj>
      </w:sdtPr>
      <w:sdtContent>
        <w:r w:rsidRPr="00F35063">
          <w:rPr>
            <w:rStyle w:val="PageNumber"/>
            <w:color w:val="595959" w:themeColor="text1" w:themeTint="A6"/>
            <w:sz w:val="16"/>
            <w:szCs w:val="16"/>
          </w:rPr>
          <w:fldChar w:fldCharType="begin"/>
        </w:r>
        <w:r w:rsidRPr="00F35063">
          <w:rPr>
            <w:rStyle w:val="PageNumber"/>
            <w:color w:val="595959" w:themeColor="text1" w:themeTint="A6"/>
            <w:sz w:val="16"/>
            <w:szCs w:val="16"/>
          </w:rPr>
          <w:instrText xml:space="preserve"> PAGE </w:instrText>
        </w:r>
        <w:r w:rsidRPr="00F35063">
          <w:rPr>
            <w:rStyle w:val="PageNumber"/>
            <w:color w:val="595959" w:themeColor="text1" w:themeTint="A6"/>
            <w:sz w:val="16"/>
            <w:szCs w:val="16"/>
          </w:rPr>
          <w:fldChar w:fldCharType="separate"/>
        </w:r>
        <w:r>
          <w:rPr>
            <w:rStyle w:val="PageNumber"/>
            <w:noProof/>
            <w:color w:val="595959" w:themeColor="text1" w:themeTint="A6"/>
            <w:sz w:val="16"/>
            <w:szCs w:val="16"/>
          </w:rPr>
          <w:t>2</w:t>
        </w:r>
        <w:r w:rsidRPr="00F35063">
          <w:rPr>
            <w:rStyle w:val="PageNumber"/>
            <w:color w:val="595959" w:themeColor="text1" w:themeTint="A6"/>
            <w:sz w:val="16"/>
            <w:szCs w:val="16"/>
          </w:rPr>
          <w:fldChar w:fldCharType="end"/>
        </w:r>
      </w:sdtContent>
    </w:sdt>
  </w:p>
  <w:p w:rsidR="00E97EBE" w:rsidRPr="00ED4CB6" w:rsidRDefault="00E97EBE" w:rsidP="00ED4C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BE" w:rsidRDefault="005F0F87">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E97EBE" w:rsidRPr="00E97EBE">
      <w:rPr>
        <w:color w:val="191919"/>
        <w:sz w:val="13"/>
      </w:rPr>
      <w:t>ME_194870828_1</w:t>
    </w:r>
    <w:r>
      <w:rPr>
        <w:color w:val="191919"/>
        <w:sz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183" w:rsidRDefault="00DE2183" w:rsidP="009723E5">
      <w:r>
        <w:separator/>
      </w:r>
    </w:p>
  </w:footnote>
  <w:footnote w:type="continuationSeparator" w:id="0">
    <w:p w:rsidR="00DE2183" w:rsidRDefault="00DE2183" w:rsidP="00972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C9D" w:rsidRDefault="005F0C9D" w:rsidP="005F0C9D">
    <w:pPr>
      <w:pStyle w:val="Header"/>
      <w:numPr>
        <w:ilvl w:val="0"/>
        <w:numId w:val="0"/>
      </w:numPr>
      <w:ind w:left="227" w:hanging="2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A6B05"/>
    <w:multiLevelType w:val="hybridMultilevel"/>
    <w:tmpl w:val="21AAE3C4"/>
    <w:lvl w:ilvl="0" w:tplc="42D2D8D2">
      <w:start w:val="1"/>
      <w:numFmt w:val="bullet"/>
      <w:pStyle w:val="Header"/>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E4"/>
    <w:rsid w:val="00071E47"/>
    <w:rsid w:val="000A63D2"/>
    <w:rsid w:val="00401DE4"/>
    <w:rsid w:val="00454B28"/>
    <w:rsid w:val="005F0C9D"/>
    <w:rsid w:val="005F0F87"/>
    <w:rsid w:val="007E2C73"/>
    <w:rsid w:val="009723E5"/>
    <w:rsid w:val="00A30217"/>
    <w:rsid w:val="00B573D2"/>
    <w:rsid w:val="00BA25FF"/>
    <w:rsid w:val="00DE2183"/>
    <w:rsid w:val="00E97EBE"/>
    <w:rsid w:val="00ED4CB6"/>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A9110D8-57F0-40FF-BE4E-48DBAA8F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DE4"/>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401DE4"/>
    <w:pPr>
      <w:ind w:left="671" w:hanging="361"/>
      <w:outlineLvl w:val="0"/>
    </w:pPr>
    <w:rPr>
      <w:color w:val="1C92C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01DE4"/>
    <w:rPr>
      <w:rFonts w:ascii="Calibri" w:eastAsia="Calibri" w:hAnsi="Calibri" w:cs="Calibri"/>
      <w:color w:val="1C92CD"/>
      <w:sz w:val="40"/>
      <w:szCs w:val="40"/>
    </w:rPr>
  </w:style>
  <w:style w:type="paragraph" w:styleId="Header">
    <w:name w:val="header"/>
    <w:basedOn w:val="Normal"/>
    <w:link w:val="HeaderChar"/>
    <w:uiPriority w:val="99"/>
    <w:unhideWhenUsed/>
    <w:rsid w:val="00401DE4"/>
    <w:pPr>
      <w:numPr>
        <w:numId w:val="1"/>
      </w:numPr>
      <w:tabs>
        <w:tab w:val="center" w:pos="4513"/>
        <w:tab w:val="right" w:pos="9026"/>
      </w:tabs>
    </w:pPr>
  </w:style>
  <w:style w:type="character" w:customStyle="1" w:styleId="HeaderChar">
    <w:name w:val="Header Char"/>
    <w:basedOn w:val="DefaultParagraphFont"/>
    <w:link w:val="Header"/>
    <w:uiPriority w:val="99"/>
    <w:rsid w:val="00401DE4"/>
    <w:rPr>
      <w:rFonts w:ascii="Calibri" w:eastAsia="Calibri" w:hAnsi="Calibri" w:cs="Calibri"/>
    </w:rPr>
  </w:style>
  <w:style w:type="paragraph" w:customStyle="1" w:styleId="FrameworkAppendixHeading">
    <w:name w:val="Framework Appendix Heading"/>
    <w:basedOn w:val="Normal"/>
    <w:next w:val="BodyText"/>
    <w:link w:val="FrameworkAppendixHeadingChar"/>
    <w:qFormat/>
    <w:rsid w:val="00401DE4"/>
    <w:pPr>
      <w:spacing w:after="120"/>
      <w:outlineLvl w:val="0"/>
    </w:pPr>
    <w:rPr>
      <w:color w:val="00A8D6"/>
      <w:sz w:val="32"/>
      <w:szCs w:val="32"/>
    </w:rPr>
  </w:style>
  <w:style w:type="character" w:customStyle="1" w:styleId="FrameworkAppendixHeadingChar">
    <w:name w:val="Framework Appendix Heading Char"/>
    <w:basedOn w:val="DefaultParagraphFont"/>
    <w:link w:val="FrameworkAppendixHeading"/>
    <w:rsid w:val="00401DE4"/>
    <w:rPr>
      <w:rFonts w:ascii="Calibri" w:eastAsia="Calibri" w:hAnsi="Calibri" w:cs="Calibri"/>
      <w:color w:val="00A8D6"/>
      <w:sz w:val="32"/>
      <w:szCs w:val="32"/>
    </w:rPr>
  </w:style>
  <w:style w:type="paragraph" w:styleId="BodyText">
    <w:name w:val="Body Text"/>
    <w:basedOn w:val="Normal"/>
    <w:link w:val="BodyTextChar"/>
    <w:uiPriority w:val="1"/>
    <w:unhideWhenUsed/>
    <w:qFormat/>
    <w:rsid w:val="00401DE4"/>
    <w:pPr>
      <w:spacing w:after="120"/>
    </w:pPr>
  </w:style>
  <w:style w:type="character" w:customStyle="1" w:styleId="BodyTextChar">
    <w:name w:val="Body Text Char"/>
    <w:basedOn w:val="DefaultParagraphFont"/>
    <w:link w:val="BodyText"/>
    <w:uiPriority w:val="1"/>
    <w:rsid w:val="00401DE4"/>
    <w:rPr>
      <w:rFonts w:ascii="Calibri" w:eastAsia="Calibri" w:hAnsi="Calibri" w:cs="Calibri"/>
    </w:rPr>
  </w:style>
  <w:style w:type="paragraph" w:styleId="Footer">
    <w:name w:val="footer"/>
    <w:basedOn w:val="Normal"/>
    <w:link w:val="FooterChar"/>
    <w:uiPriority w:val="99"/>
    <w:unhideWhenUsed/>
    <w:rsid w:val="009723E5"/>
    <w:pPr>
      <w:tabs>
        <w:tab w:val="center" w:pos="4513"/>
        <w:tab w:val="right" w:pos="9026"/>
      </w:tabs>
    </w:pPr>
  </w:style>
  <w:style w:type="character" w:customStyle="1" w:styleId="FooterChar">
    <w:name w:val="Footer Char"/>
    <w:basedOn w:val="DefaultParagraphFont"/>
    <w:link w:val="Footer"/>
    <w:uiPriority w:val="99"/>
    <w:rsid w:val="009723E5"/>
    <w:rPr>
      <w:rFonts w:ascii="Calibri" w:eastAsia="Calibri" w:hAnsi="Calibri" w:cs="Calibri"/>
    </w:rPr>
  </w:style>
  <w:style w:type="paragraph" w:styleId="BalloonText">
    <w:name w:val="Balloon Text"/>
    <w:basedOn w:val="Normal"/>
    <w:link w:val="BalloonTextChar"/>
    <w:uiPriority w:val="99"/>
    <w:semiHidden/>
    <w:unhideWhenUsed/>
    <w:rsid w:val="005F0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F87"/>
    <w:rPr>
      <w:rFonts w:ascii="Segoe UI" w:eastAsia="Calibri" w:hAnsi="Segoe UI" w:cs="Segoe UI"/>
      <w:sz w:val="18"/>
      <w:szCs w:val="18"/>
    </w:rPr>
  </w:style>
  <w:style w:type="character" w:styleId="PageNumber">
    <w:name w:val="page number"/>
    <w:basedOn w:val="DefaultParagraphFont"/>
    <w:uiPriority w:val="99"/>
    <w:semiHidden/>
    <w:unhideWhenUsed/>
    <w:rsid w:val="00ED4CB6"/>
  </w:style>
  <w:style w:type="paragraph" w:customStyle="1" w:styleId="TableParagraph">
    <w:name w:val="Table Paragraph"/>
    <w:basedOn w:val="Normal"/>
    <w:uiPriority w:val="1"/>
    <w:qFormat/>
    <w:rsid w:val="00ED4CB6"/>
    <w:pPr>
      <w:spacing w:before="27"/>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F193044-2B1B-497B-93D7-7EDDACAD638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PS PSP</cp:lastModifiedBy>
  <cp:revision>9</cp:revision>
  <dcterms:created xsi:type="dcterms:W3CDTF">2021-08-10T04:54:00Z</dcterms:created>
  <dcterms:modified xsi:type="dcterms:W3CDTF">2022-04-21T23:09:00Z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ME_194870828_1</vt:lpwstr>
  </property>
  <property fmtid="{D5CDD505-2E9C-101B-9397-08002B2CF9AE}" pid="4" name="Custom1">
    <vt:lpwstr>1378890</vt:lpwstr>
  </property>
</Properties>
</file>